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8066D" w14:textId="001E1AE8" w:rsidR="004D6698" w:rsidRDefault="004D6698" w:rsidP="004D6698">
      <w:pPr>
        <w:pStyle w:val="CRCoverPage"/>
        <w:tabs>
          <w:tab w:val="right" w:pos="9639"/>
        </w:tabs>
        <w:spacing w:after="0"/>
        <w:rPr>
          <w:b/>
          <w:noProof/>
          <w:sz w:val="24"/>
        </w:rPr>
      </w:pPr>
      <w:r>
        <w:rPr>
          <w:b/>
          <w:noProof/>
          <w:sz w:val="24"/>
        </w:rPr>
        <w:t>3GPP TSG-SA WG6 Meeting #6</w:t>
      </w:r>
      <w:r w:rsidR="00105674">
        <w:rPr>
          <w:b/>
          <w:noProof/>
          <w:sz w:val="24"/>
        </w:rPr>
        <w:t>4</w:t>
      </w:r>
      <w:r>
        <w:rPr>
          <w:b/>
          <w:noProof/>
          <w:sz w:val="24"/>
        </w:rPr>
        <w:tab/>
      </w:r>
      <w:r w:rsidR="003E657F" w:rsidRPr="003E657F">
        <w:rPr>
          <w:b/>
          <w:noProof/>
          <w:sz w:val="24"/>
        </w:rPr>
        <w:t>S6-245</w:t>
      </w:r>
      <w:r w:rsidR="007B1EA2">
        <w:rPr>
          <w:b/>
          <w:noProof/>
          <w:sz w:val="24"/>
        </w:rPr>
        <w:t>503</w:t>
      </w:r>
    </w:p>
    <w:p w14:paraId="40AB3D98" w14:textId="30EEF71F" w:rsidR="004D6698" w:rsidRDefault="00105674" w:rsidP="004D6698">
      <w:pPr>
        <w:pStyle w:val="CRCoverPage"/>
        <w:tabs>
          <w:tab w:val="right" w:pos="9639"/>
        </w:tabs>
        <w:spacing w:after="0"/>
        <w:rPr>
          <w:b/>
          <w:noProof/>
          <w:sz w:val="24"/>
        </w:rPr>
      </w:pPr>
      <w:r w:rsidRPr="00105674">
        <w:rPr>
          <w:b/>
          <w:noProof/>
          <w:sz w:val="24"/>
        </w:rPr>
        <w:t>Orlando, USA,</w:t>
      </w:r>
      <w:r w:rsidR="004D6698">
        <w:rPr>
          <w:b/>
          <w:noProof/>
          <w:sz w:val="24"/>
        </w:rPr>
        <w:t xml:space="preserve"> </w:t>
      </w:r>
      <w:r w:rsidR="00672C66">
        <w:rPr>
          <w:b/>
          <w:noProof/>
          <w:sz w:val="24"/>
        </w:rPr>
        <w:t>1</w:t>
      </w:r>
      <w:r>
        <w:rPr>
          <w:b/>
          <w:noProof/>
          <w:sz w:val="24"/>
        </w:rPr>
        <w:t>8</w:t>
      </w:r>
      <w:r w:rsidR="004D6698">
        <w:rPr>
          <w:b/>
          <w:noProof/>
          <w:sz w:val="24"/>
          <w:vertAlign w:val="superscript"/>
        </w:rPr>
        <w:t>th</w:t>
      </w:r>
      <w:r w:rsidR="004D6698">
        <w:rPr>
          <w:b/>
          <w:noProof/>
          <w:sz w:val="24"/>
        </w:rPr>
        <w:t xml:space="preserve"> – </w:t>
      </w:r>
      <w:r>
        <w:rPr>
          <w:b/>
          <w:noProof/>
          <w:sz w:val="24"/>
        </w:rPr>
        <w:t>22</w:t>
      </w:r>
      <w:r w:rsidRPr="00105674">
        <w:rPr>
          <w:b/>
          <w:noProof/>
          <w:sz w:val="24"/>
          <w:vertAlign w:val="superscript"/>
        </w:rPr>
        <w:t>nd</w:t>
      </w:r>
      <w:r w:rsidR="004D6698">
        <w:rPr>
          <w:b/>
          <w:noProof/>
          <w:sz w:val="24"/>
        </w:rPr>
        <w:t xml:space="preserve"> </w:t>
      </w:r>
      <w:r>
        <w:rPr>
          <w:b/>
          <w:noProof/>
          <w:sz w:val="24"/>
        </w:rPr>
        <w:t>Noember</w:t>
      </w:r>
      <w:r w:rsidR="004D6698">
        <w:rPr>
          <w:b/>
          <w:noProof/>
          <w:sz w:val="24"/>
        </w:rPr>
        <w:t xml:space="preserve"> 2024</w:t>
      </w:r>
      <w:r w:rsidR="004D6698">
        <w:rPr>
          <w:b/>
          <w:noProof/>
          <w:sz w:val="24"/>
        </w:rPr>
        <w:tab/>
        <w:t xml:space="preserve">(revision of </w:t>
      </w:r>
      <w:r w:rsidR="007B1EA2" w:rsidRPr="003E657F">
        <w:rPr>
          <w:b/>
          <w:noProof/>
          <w:sz w:val="24"/>
        </w:rPr>
        <w:t>S6-245125</w:t>
      </w:r>
      <w:r w:rsidR="004D6698">
        <w:rPr>
          <w:b/>
          <w:noProof/>
          <w:sz w:val="24"/>
        </w:rPr>
        <w:t>)</w:t>
      </w:r>
    </w:p>
    <w:p w14:paraId="697CA546" w14:textId="77777777" w:rsidR="00B97703" w:rsidRDefault="00B97703">
      <w:pPr>
        <w:rPr>
          <w:rFonts w:ascii="Arial" w:hAnsi="Arial" w:cs="Arial"/>
        </w:rPr>
      </w:pPr>
    </w:p>
    <w:p w14:paraId="6DDD6291" w14:textId="01B64D1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F62C2">
        <w:rPr>
          <w:rFonts w:ascii="Arial" w:hAnsi="Arial" w:cs="Arial"/>
          <w:b/>
          <w:sz w:val="22"/>
          <w:szCs w:val="22"/>
        </w:rPr>
        <w:t>Metaverse application enablement requirements</w:t>
      </w:r>
    </w:p>
    <w:p w14:paraId="611B4358" w14:textId="2005AF3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2267B">
        <w:rPr>
          <w:rFonts w:ascii="Arial" w:hAnsi="Arial" w:cs="Arial"/>
          <w:b/>
          <w:bCs/>
          <w:sz w:val="22"/>
          <w:szCs w:val="22"/>
        </w:rPr>
        <w:t>none</w:t>
      </w:r>
    </w:p>
    <w:p w14:paraId="6DF36BBF" w14:textId="384E72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2"/>
    <w:bookmarkEnd w:id="3"/>
    <w:bookmarkEnd w:id="4"/>
    <w:p w14:paraId="2E7963FE" w14:textId="2829E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2267B">
        <w:rPr>
          <w:rFonts w:ascii="Arial" w:hAnsi="Arial" w:cs="Arial"/>
          <w:b/>
          <w:bCs/>
          <w:sz w:val="22"/>
          <w:szCs w:val="22"/>
        </w:rPr>
        <w:t>Metaverse_App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2267B">
        <w:rPr>
          <w:rFonts w:ascii="Arial" w:hAnsi="Arial" w:cs="Arial"/>
          <w:b/>
          <w:bCs/>
          <w:sz w:val="22"/>
          <w:szCs w:val="22"/>
        </w:rPr>
        <w:t>3GPP TSG SA WG6</w:t>
      </w:r>
      <w:bookmarkEnd w:id="5"/>
      <w:bookmarkEnd w:id="6"/>
      <w:bookmarkEnd w:id="7"/>
    </w:p>
    <w:p w14:paraId="01147493" w14:textId="5A92373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A7CCA">
        <w:rPr>
          <w:rFonts w:ascii="Arial" w:hAnsi="Arial" w:cs="Arial"/>
          <w:b/>
          <w:bCs/>
          <w:sz w:val="22"/>
          <w:szCs w:val="22"/>
        </w:rPr>
        <w:t xml:space="preserve">ITU-T </w:t>
      </w:r>
      <w:r w:rsidR="00A257D8">
        <w:rPr>
          <w:rFonts w:ascii="Arial" w:hAnsi="Arial" w:cs="Arial"/>
          <w:b/>
          <w:bCs/>
          <w:sz w:val="22"/>
          <w:szCs w:val="22"/>
        </w:rPr>
        <w:t>TSAG</w:t>
      </w:r>
      <w:r w:rsidR="0097428F">
        <w:rPr>
          <w:rFonts w:ascii="Arial" w:hAnsi="Arial" w:cs="Arial"/>
          <w:b/>
          <w:bCs/>
          <w:sz w:val="22"/>
          <w:szCs w:val="22"/>
        </w:rPr>
        <w:t>, MSF DAM-WG</w:t>
      </w:r>
    </w:p>
    <w:p w14:paraId="08C8D7FD" w14:textId="7CCF8FA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B2267B">
        <w:rPr>
          <w:rFonts w:ascii="Arial" w:hAnsi="Arial" w:cs="Arial"/>
          <w:b/>
          <w:bCs/>
          <w:sz w:val="22"/>
          <w:szCs w:val="22"/>
        </w:rPr>
        <w:t>SA</w:t>
      </w:r>
      <w:r w:rsidR="00453E1A">
        <w:rPr>
          <w:rFonts w:ascii="Arial" w:hAnsi="Arial" w:cs="Arial"/>
          <w:b/>
          <w:bCs/>
          <w:sz w:val="22"/>
          <w:szCs w:val="22"/>
        </w:rPr>
        <w:t xml:space="preserve">, </w:t>
      </w:r>
      <w:r w:rsidR="00FA7CCA">
        <w:rPr>
          <w:rFonts w:ascii="Arial" w:hAnsi="Arial" w:cs="Arial"/>
          <w:b/>
          <w:bCs/>
          <w:sz w:val="22"/>
          <w:szCs w:val="22"/>
        </w:rPr>
        <w:t>SA4</w:t>
      </w:r>
      <w:r w:rsidR="00A257D8">
        <w:rPr>
          <w:rFonts w:ascii="Arial" w:hAnsi="Arial" w:cs="Arial"/>
          <w:b/>
          <w:bCs/>
          <w:sz w:val="22"/>
          <w:szCs w:val="22"/>
        </w:rPr>
        <w:t>, ITU-T SG21</w:t>
      </w:r>
    </w:p>
    <w:bookmarkEnd w:id="8"/>
    <w:bookmarkEnd w:id="9"/>
    <w:p w14:paraId="1C12BB50" w14:textId="77777777" w:rsidR="00B97703" w:rsidRDefault="00B97703">
      <w:pPr>
        <w:spacing w:after="60"/>
        <w:ind w:left="1985" w:hanging="1985"/>
        <w:rPr>
          <w:rFonts w:ascii="Arial" w:hAnsi="Arial" w:cs="Arial"/>
          <w:bCs/>
        </w:rPr>
      </w:pPr>
    </w:p>
    <w:p w14:paraId="4009E3A9" w14:textId="624D6ED0" w:rsidR="00B97703" w:rsidRDefault="00B97703" w:rsidP="00A805B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05B3">
        <w:rPr>
          <w:rFonts w:ascii="Arial" w:hAnsi="Arial" w:cs="Arial"/>
          <w:b/>
          <w:bCs/>
          <w:sz w:val="22"/>
          <w:szCs w:val="22"/>
        </w:rPr>
        <w:t>Sapan Shah (</w:t>
      </w:r>
      <w:hyperlink r:id="rId7" w:history="1">
        <w:r w:rsidR="00A805B3" w:rsidRPr="00275FAE">
          <w:rPr>
            <w:rStyle w:val="Hyperlink"/>
            <w:rFonts w:ascii="Arial" w:hAnsi="Arial" w:cs="Arial"/>
            <w:b/>
            <w:bCs/>
            <w:sz w:val="22"/>
            <w:szCs w:val="22"/>
          </w:rPr>
          <w:t>sapan.shah@samsung.com</w:t>
        </w:r>
      </w:hyperlink>
      <w:r w:rsidR="00A805B3">
        <w:rPr>
          <w:rFonts w:ascii="Arial" w:hAnsi="Arial" w:cs="Arial"/>
          <w:b/>
          <w:bCs/>
          <w:sz w:val="22"/>
          <w:szCs w:val="22"/>
        </w:rPr>
        <w:t xml:space="preserve">) </w:t>
      </w:r>
    </w:p>
    <w:p w14:paraId="4FA104EB" w14:textId="77777777" w:rsidR="00A805B3" w:rsidRPr="004E3939" w:rsidRDefault="00A805B3" w:rsidP="00A805B3">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34DB57E" w:rsidR="00B97703" w:rsidRPr="0010105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101054" w:rsidRPr="00101054">
        <w:rPr>
          <w:rFonts w:ascii="Arial" w:hAnsi="Arial" w:cs="Arial"/>
          <w:b/>
          <w:bCs/>
          <w:sz w:val="22"/>
          <w:szCs w:val="22"/>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C715863" w14:textId="77E31797" w:rsidR="007A25AE" w:rsidRDefault="007A25AE" w:rsidP="007A25AE">
      <w:r>
        <w:t>3GPP SA6 is currently working on providing application enabler for metaverse applications. In their work, SA6 has specified spatial anchors and spatial map services in 3GPP TS 23.437, and Digital asset service in 3GPP TS 23.438.</w:t>
      </w:r>
    </w:p>
    <w:p w14:paraId="65D3E1C4" w14:textId="77777777" w:rsidR="00A33A54" w:rsidRDefault="00C57D1C" w:rsidP="007A25AE">
      <w:r>
        <w:t>Particularly for digital asset service, for Rel-19, 3GPP has considered Avatar of a human as a digital asset and provided service to enable metaverse application</w:t>
      </w:r>
      <w:r w:rsidR="00A33A54">
        <w:t>s</w:t>
      </w:r>
      <w:r>
        <w:t xml:space="preserve"> and their users to manage </w:t>
      </w:r>
      <w:r w:rsidR="00A33A54">
        <w:t xml:space="preserve">(i.e. to create, update, get, delete and discover) </w:t>
      </w:r>
      <w:r>
        <w:t xml:space="preserve">digital asset (i.e. Avatar). </w:t>
      </w:r>
    </w:p>
    <w:p w14:paraId="5E0CF90F" w14:textId="125CF8C6" w:rsidR="00C57D1C" w:rsidRDefault="00C57D1C" w:rsidP="007A25AE">
      <w:r>
        <w:t xml:space="preserve">3GPP SA6 believes that the digital asset service as defined in </w:t>
      </w:r>
      <w:r w:rsidR="00A257D8">
        <w:t xml:space="preserve">3GPP </w:t>
      </w:r>
      <w:r>
        <w:t xml:space="preserve">TS 23.438 also fulfils many of the requirements from FGMV as specified in clause 8.2 </w:t>
      </w:r>
      <w:r w:rsidR="00A257D8">
        <w:t xml:space="preserve">and clause 8.3 </w:t>
      </w:r>
      <w:r>
        <w:t>of FGMV-19 (</w:t>
      </w:r>
      <w:hyperlink r:id="rId9" w:history="1">
        <w:r w:rsidRPr="00275FAE">
          <w:rPr>
            <w:rStyle w:val="Hyperlink"/>
          </w:rPr>
          <w:t>https://www.itu.int/en/ITU-T/focusgroups/mv/Documents/List%20of%20FG-MV%20deliverables/FGMV-19.pdf</w:t>
        </w:r>
      </w:hyperlink>
      <w:r>
        <w:t>).</w:t>
      </w:r>
      <w:r w:rsidR="00296459">
        <w:t xml:space="preserve"> 3GPP SA6 also believes that the use cases considered in Metaverse Standard forum (Digital Asset Management) can also be implemented using the Digital asset service as provided in 3GPP TS 23.438.</w:t>
      </w:r>
    </w:p>
    <w:p w14:paraId="4BE21095" w14:textId="54434F7E" w:rsidR="005B1FAF" w:rsidRDefault="00D912FD" w:rsidP="007A25AE">
      <w:r>
        <w:t>3GPP SA6 kindly asks</w:t>
      </w:r>
      <w:r w:rsidRPr="00D912FD">
        <w:t xml:space="preserve"> </w:t>
      </w:r>
      <w:r w:rsidR="00A257D8" w:rsidRPr="00A257D8">
        <w:t>ITU-T TSAG</w:t>
      </w:r>
      <w:r w:rsidRPr="00D912FD">
        <w:t>, MSF DAM-WG</w:t>
      </w:r>
      <w:r>
        <w:t xml:space="preserve"> to review the specifications for metaverse application enablement, and also provide any other application enablement requirements to consider </w:t>
      </w:r>
      <w:r w:rsidR="00A257D8">
        <w:t xml:space="preserve">for </w:t>
      </w:r>
      <w:r w:rsidR="000E24FC">
        <w:t xml:space="preserve">the application enablement in </w:t>
      </w:r>
      <w:r w:rsidR="00A257D8">
        <w:t>the</w:t>
      </w:r>
      <w:r>
        <w:t xml:space="preserve"> future release. </w:t>
      </w:r>
    </w:p>
    <w:p w14:paraId="09C01FE6" w14:textId="4141EE9B" w:rsidR="00296459" w:rsidRDefault="00296459" w:rsidP="007A25AE">
      <w:r>
        <w:t>Further, 3GPP SA6 is looking forward to have more collaboration on topics of mutual interests.</w:t>
      </w:r>
    </w:p>
    <w:p w14:paraId="196B965D" w14:textId="7796C0FF" w:rsidR="001E0C8D" w:rsidRDefault="000E24FC" w:rsidP="007A25AE">
      <w:r>
        <w:t>Here is some more details about 3GPP SA6:</w:t>
      </w:r>
    </w:p>
    <w:p w14:paraId="520EE2B5" w14:textId="1F3DF25E" w:rsidR="000E24FC" w:rsidRDefault="000E24FC" w:rsidP="000E24FC">
      <w:r>
        <w:t xml:space="preserve">3GPP SA6 specified Application Enablement standards including, service frameworks (CAPIF, EDGEAPP, SEAL services including NSCE, ADAE, SEALDD) and vertical application enabler architectures (V2XAPP, UASAPP, 5GMARCH, PINAPP), to enable various industry vertical applications over 3GPP networks. For a quick overview, you can refer to </w:t>
      </w:r>
      <w:hyperlink r:id="rId10" w:history="1">
        <w:r>
          <w:rPr>
            <w:rStyle w:val="Hyperlink"/>
          </w:rPr>
          <w:t>Application Enablement Standards in 3GPP</w:t>
        </w:r>
      </w:hyperlink>
      <w:r>
        <w:t xml:space="preserve">, and </w:t>
      </w:r>
      <w:hyperlink r:id="rId11" w:anchor="flipbook-flip8/15/" w:history="1">
        <w:r>
          <w:rPr>
            <w:rStyle w:val="Hyperlink"/>
          </w:rPr>
          <w:t>3GPP SA6 R18 – 5G Critical Communications and Application Enablement Standards</w:t>
        </w:r>
      </w:hyperlink>
      <w:r>
        <w:t xml:space="preserve">. You may also find additional information </w:t>
      </w:r>
      <w:r w:rsidR="008C6568">
        <w:t xml:space="preserve">in </w:t>
      </w:r>
      <w:bookmarkStart w:id="10" w:name="_GoBack"/>
      <w:r w:rsidR="008C6568">
        <w:fldChar w:fldCharType="begin"/>
      </w:r>
      <w:r w:rsidR="008C6568">
        <w:instrText xml:space="preserve"> HYPERLINK "https://www.3gpp.org/ftp/tsg_sa/WG6_MissionCritical/TSGS6_058_Chicago/Docs/S6-233819.zip" </w:instrText>
      </w:r>
      <w:r w:rsidR="008C6568">
        <w:fldChar w:fldCharType="separate"/>
      </w:r>
      <w:r w:rsidR="008C6568">
        <w:rPr>
          <w:rStyle w:val="Hyperlink"/>
        </w:rPr>
        <w:t>S6-233</w:t>
      </w:r>
      <w:r w:rsidR="008C6568" w:rsidRPr="008C6568">
        <w:rPr>
          <w:rStyle w:val="Hyperlink"/>
        </w:rPr>
        <w:t>819</w:t>
      </w:r>
      <w:r w:rsidR="008C6568">
        <w:fldChar w:fldCharType="end"/>
      </w:r>
      <w:bookmarkEnd w:id="10"/>
      <w:r w:rsidR="008C6568">
        <w:t xml:space="preserve"> and </w:t>
      </w:r>
      <w:r>
        <w:t xml:space="preserve">on the </w:t>
      </w:r>
      <w:hyperlink r:id="rId12" w:history="1">
        <w:r>
          <w:rPr>
            <w:rStyle w:val="Hyperlink"/>
          </w:rPr>
          <w:t>3GPP SA6 page</w:t>
        </w:r>
      </w:hyperlink>
      <w:r>
        <w:t xml:space="preserve">.  </w:t>
      </w:r>
    </w:p>
    <w:p w14:paraId="201C1E63" w14:textId="44585E73" w:rsidR="000E24FC" w:rsidRDefault="008C6568" w:rsidP="000E24FC">
      <w:r>
        <w:rPr>
          <w:noProof/>
          <w:lang w:val="en-IN" w:eastAsia="en-IN"/>
        </w:rPr>
        <w:lastRenderedPageBreak/>
        <w:pict w14:anchorId="0FE7A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72pt;height:247pt;visibility:visible;mso-wrap-style:square">
            <v:imagedata r:id="rId13" o:title=""/>
          </v:shape>
        </w:pict>
      </w:r>
    </w:p>
    <w:p w14:paraId="71C66D44" w14:textId="77777777" w:rsidR="000E24FC" w:rsidRPr="0061592D" w:rsidRDefault="000E24FC" w:rsidP="000E24FC">
      <w:r>
        <w:t>As shown in the above figure, SA6 defined Application Enablement layer serves as an application middleware, with capabilities which are reusable application components that can be used to develop Applications. 3GPP Application Enablement APIs are designed to hide the complexity of underlying the 5G core capabilities, and enable interactions between the Application Developers/Service Providers (ASPs) and the 3GPP Network Layer, across both user equipment (UE) and the core network.</w:t>
      </w:r>
    </w:p>
    <w:p w14:paraId="645AB779" w14:textId="77777777" w:rsidR="000E24FC" w:rsidRDefault="000E24FC" w:rsidP="000E24FC">
      <w:pPr>
        <w:rPr>
          <w:lang w:eastAsia="zh-CN"/>
        </w:rPr>
      </w:pPr>
      <w:r>
        <w:rPr>
          <w:lang w:eastAsia="zh-CN"/>
        </w:rPr>
        <w:t>SA6 notices that the edge computing, V2X and AI are the important topics for vehicle service in AECC. Therefore, SA6 would like to inform the related works as following:</w:t>
      </w:r>
    </w:p>
    <w:p w14:paraId="073D7AD9" w14:textId="77777777" w:rsidR="000E24FC" w:rsidRDefault="000E24FC" w:rsidP="000E24FC">
      <w:pPr>
        <w:pStyle w:val="ListParagraph"/>
        <w:numPr>
          <w:ilvl w:val="0"/>
          <w:numId w:val="5"/>
        </w:numPr>
        <w:ind w:firstLineChars="0"/>
        <w:rPr>
          <w:lang w:eastAsia="zh-CN"/>
        </w:rPr>
      </w:pPr>
      <w:r>
        <w:rPr>
          <w:lang w:eastAsia="zh-CN"/>
        </w:rPr>
        <w:t xml:space="preserve">Edge computing (in TS 23.558): specifies the edge enabler service (which can be utilized by V2X applications) to </w:t>
      </w:r>
      <w:r w:rsidRPr="00BE55A6">
        <w:rPr>
          <w:lang w:eastAsia="zh-CN"/>
        </w:rPr>
        <w:t>support the edge application server selection, and provide edge application server reselection due to UE mobility.</w:t>
      </w:r>
      <w:r>
        <w:rPr>
          <w:lang w:eastAsia="zh-CN"/>
        </w:rPr>
        <w:t xml:space="preserve"> Compared with the DNS mechanism, it can better support the UE mobility case.</w:t>
      </w:r>
    </w:p>
    <w:p w14:paraId="5C9E7ACC" w14:textId="77777777" w:rsidR="000E24FC" w:rsidRDefault="000E24FC" w:rsidP="000E24FC">
      <w:pPr>
        <w:pStyle w:val="ListParagraph"/>
        <w:numPr>
          <w:ilvl w:val="0"/>
          <w:numId w:val="5"/>
        </w:numPr>
        <w:ind w:firstLineChars="0"/>
        <w:rPr>
          <w:lang w:eastAsia="zh-CN"/>
        </w:rPr>
      </w:pPr>
      <w:r>
        <w:rPr>
          <w:rFonts w:hint="eastAsia"/>
          <w:lang w:eastAsia="zh-CN"/>
        </w:rPr>
        <w:t>V</w:t>
      </w:r>
      <w:r>
        <w:rPr>
          <w:lang w:eastAsia="zh-CN"/>
        </w:rPr>
        <w:t xml:space="preserve">2X (in TS 23.286): specifies the application layer functions to enable V2X services which use network layer feature for V2X UE, e.g. to support </w:t>
      </w:r>
      <w:r w:rsidRPr="003C766F">
        <w:t xml:space="preserve">V2X USD announcement </w:t>
      </w:r>
      <w:r>
        <w:t xml:space="preserve">provisioning, </w:t>
      </w:r>
      <w:r>
        <w:rPr>
          <w:lang w:eastAsia="zh-CN"/>
        </w:rPr>
        <w:t xml:space="preserve">the message distribution for V2X applications (e.g. </w:t>
      </w:r>
      <w:r w:rsidRPr="005141C0">
        <w:rPr>
          <w:lang w:eastAsia="zh-CN"/>
        </w:rPr>
        <w:t>platooning</w:t>
      </w:r>
      <w:r>
        <w:rPr>
          <w:lang w:eastAsia="zh-CN"/>
        </w:rPr>
        <w:t xml:space="preserve">), and the group communication based on MBMS and PC5 for V2X application. </w:t>
      </w:r>
    </w:p>
    <w:p w14:paraId="46D9C524" w14:textId="77777777" w:rsidR="000E24FC" w:rsidRPr="001D5486" w:rsidRDefault="000E24FC" w:rsidP="000E24FC">
      <w:pPr>
        <w:pStyle w:val="ListParagraph"/>
        <w:numPr>
          <w:ilvl w:val="0"/>
          <w:numId w:val="5"/>
        </w:numPr>
        <w:adjustRightInd/>
        <w:ind w:firstLineChars="0"/>
        <w:textAlignment w:val="auto"/>
        <w:rPr>
          <w:lang w:val="en-IN" w:eastAsia="zh-CN"/>
        </w:rPr>
      </w:pPr>
      <w:r>
        <w:rPr>
          <w:lang w:eastAsia="zh-CN"/>
        </w:rPr>
        <w:t xml:space="preserve">SEAL ADAES (in TS 23.436) provides application layer analytics capabilities targeting both edge and vertical scenarios (e.g. V2X). For example, a </w:t>
      </w:r>
      <w:r>
        <w:rPr>
          <w:lang w:val="en-IN" w:eastAsia="zh-CN"/>
        </w:rPr>
        <w:t>V2X</w:t>
      </w:r>
      <w:r w:rsidRPr="001D5486">
        <w:rPr>
          <w:lang w:val="en-IN" w:eastAsia="zh-CN"/>
        </w:rPr>
        <w:t xml:space="preserve"> </w:t>
      </w:r>
      <w:r>
        <w:rPr>
          <w:lang w:val="en-IN" w:eastAsia="zh-CN"/>
        </w:rPr>
        <w:t>application</w:t>
      </w:r>
      <w:r w:rsidRPr="001D5486">
        <w:rPr>
          <w:lang w:val="en-IN" w:eastAsia="zh-CN"/>
        </w:rPr>
        <w:t xml:space="preserve"> can leverage the Application layer Analytics capabilities for predicting end to end performance and selecting the optimal edge </w:t>
      </w:r>
      <w:r>
        <w:rPr>
          <w:lang w:val="en-IN" w:eastAsia="zh-CN"/>
        </w:rPr>
        <w:t xml:space="preserve">V2X </w:t>
      </w:r>
      <w:r w:rsidRPr="001D5486">
        <w:rPr>
          <w:lang w:val="en-IN" w:eastAsia="zh-CN"/>
        </w:rPr>
        <w:t>server. In addition, the ongoing AIMLAPP study (TR 23.700-82) focuses on studying how SA6 functionality can:</w:t>
      </w:r>
    </w:p>
    <w:p w14:paraId="2B6CD889" w14:textId="77777777" w:rsidR="000E24FC" w:rsidRDefault="000E24FC" w:rsidP="000E24FC">
      <w:pPr>
        <w:pStyle w:val="ListParagraph"/>
        <w:numPr>
          <w:ilvl w:val="1"/>
          <w:numId w:val="6"/>
        </w:numPr>
        <w:adjustRightInd/>
        <w:ind w:firstLineChars="0"/>
        <w:textAlignment w:val="auto"/>
        <w:rPr>
          <w:lang w:val="en-IN" w:eastAsia="zh-CN"/>
        </w:rPr>
      </w:pPr>
      <w:r>
        <w:rPr>
          <w:lang w:val="en-IN" w:eastAsia="zh-CN"/>
        </w:rPr>
        <w:t xml:space="preserve">Assist the application layer (e.g. AI/ML apps at server and UE side) in operations related to ML model lifecycle (e.g. ML model distribution/training/inference), taking into consideration the 3GPP system architecture capabilities offered by core network to assist AI/ML services. </w:t>
      </w:r>
    </w:p>
    <w:p w14:paraId="09BBCD2D" w14:textId="77777777" w:rsidR="000E24FC" w:rsidRPr="00F05D29" w:rsidRDefault="000E24FC" w:rsidP="000E24FC">
      <w:pPr>
        <w:pStyle w:val="ListParagraph"/>
        <w:numPr>
          <w:ilvl w:val="1"/>
          <w:numId w:val="6"/>
        </w:numPr>
        <w:adjustRightInd/>
        <w:ind w:firstLineChars="0"/>
        <w:textAlignment w:val="auto"/>
        <w:rPr>
          <w:lang w:val="en-IN" w:eastAsia="zh-CN"/>
        </w:rPr>
      </w:pPr>
      <w:r>
        <w:rPr>
          <w:lang w:val="en-IN" w:eastAsia="zh-CN"/>
        </w:rPr>
        <w:t xml:space="preserve">Enhance and potentially extending existing analytics enablement services, as provided by SEAL ADAES, using AI/ML support services. </w:t>
      </w:r>
    </w:p>
    <w:p w14:paraId="274D0BDC" w14:textId="77777777" w:rsidR="00B97703" w:rsidRDefault="002F1940" w:rsidP="000F6242">
      <w:pPr>
        <w:pStyle w:val="Heading1"/>
      </w:pPr>
      <w:r>
        <w:t>2</w:t>
      </w:r>
      <w:r>
        <w:tab/>
      </w:r>
      <w:r w:rsidR="000F6242">
        <w:t>Actions</w:t>
      </w:r>
    </w:p>
    <w:p w14:paraId="51CCBAE2" w14:textId="2821A3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912FD" w:rsidRPr="00D912FD">
        <w:rPr>
          <w:rFonts w:ascii="Arial" w:hAnsi="Arial" w:cs="Arial"/>
          <w:b/>
        </w:rPr>
        <w:t>FG-MV-WG5, MSF DAM-WG</w:t>
      </w:r>
    </w:p>
    <w:p w14:paraId="362A4047" w14:textId="0CC6AD4F"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D912FD" w:rsidRPr="00D912FD">
        <w:t>3GPP SA6</w:t>
      </w:r>
      <w:r w:rsidRPr="00D912FD">
        <w:t xml:space="preserve"> asks </w:t>
      </w:r>
      <w:r w:rsidR="000E24FC" w:rsidRPr="00A257D8">
        <w:t>ITU-T TSAG</w:t>
      </w:r>
      <w:r w:rsidR="000E24FC" w:rsidRPr="00D912FD">
        <w:t>, MSF DAM-W</w:t>
      </w:r>
      <w:r w:rsidR="000E24FC">
        <w:t xml:space="preserve"> </w:t>
      </w:r>
      <w:r w:rsidR="00D912FD" w:rsidRPr="00D912FD">
        <w:t xml:space="preserve">WG </w:t>
      </w:r>
      <w:r w:rsidR="00D912FD">
        <w:t>to review the specifications for metaverse application enablement, and also provide any other application enablement requirements to consider in future release.</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353F24" w14:textId="2BE2AC94" w:rsidR="00954653" w:rsidRDefault="00954653" w:rsidP="00954653">
      <w:pPr>
        <w:tabs>
          <w:tab w:val="left" w:pos="5103"/>
        </w:tabs>
        <w:spacing w:after="120"/>
        <w:rPr>
          <w:rFonts w:ascii="Arial" w:hAnsi="Arial" w:cs="Arial"/>
          <w:bCs/>
        </w:rPr>
      </w:pPr>
      <w:r>
        <w:rPr>
          <w:rFonts w:ascii="Arial" w:hAnsi="Arial" w:cs="Arial"/>
          <w:bCs/>
        </w:rPr>
        <w:t>SA6#6</w:t>
      </w:r>
      <w:r w:rsidR="006B5245">
        <w:rPr>
          <w:rFonts w:ascii="Arial" w:hAnsi="Arial" w:cs="Arial"/>
          <w:bCs/>
        </w:rPr>
        <w:t>5</w:t>
      </w:r>
      <w:r>
        <w:rPr>
          <w:rFonts w:ascii="Arial" w:hAnsi="Arial" w:cs="Arial"/>
          <w:bCs/>
        </w:rPr>
        <w:t xml:space="preserve">                 1</w:t>
      </w:r>
      <w:r w:rsidR="006B5245">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6B5245">
        <w:rPr>
          <w:rFonts w:ascii="Arial" w:hAnsi="Arial" w:cs="Arial"/>
          <w:bCs/>
        </w:rPr>
        <w:t>1</w:t>
      </w:r>
      <w:r w:rsidR="006B5245" w:rsidRPr="006B5245">
        <w:rPr>
          <w:rFonts w:ascii="Arial" w:hAnsi="Arial" w:cs="Arial"/>
          <w:bCs/>
          <w:vertAlign w:val="superscript"/>
        </w:rPr>
        <w:t>st</w:t>
      </w:r>
      <w:r>
        <w:rPr>
          <w:rFonts w:ascii="Arial" w:hAnsi="Arial" w:cs="Arial"/>
          <w:bCs/>
        </w:rPr>
        <w:t xml:space="preserve"> </w:t>
      </w:r>
      <w:r w:rsidR="006B5245">
        <w:rPr>
          <w:rFonts w:ascii="Arial" w:hAnsi="Arial" w:cs="Arial"/>
          <w:bCs/>
        </w:rPr>
        <w:t>February</w:t>
      </w:r>
      <w:r>
        <w:rPr>
          <w:rFonts w:ascii="Arial" w:hAnsi="Arial" w:cs="Arial"/>
          <w:bCs/>
        </w:rPr>
        <w:t xml:space="preserve"> </w:t>
      </w:r>
      <w:r w:rsidRPr="002D5115">
        <w:rPr>
          <w:rFonts w:ascii="Arial" w:hAnsi="Arial" w:cs="Arial"/>
          <w:bCs/>
        </w:rPr>
        <w:t>202</w:t>
      </w:r>
      <w:r w:rsidR="006B5245">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6B5245">
        <w:rPr>
          <w:rFonts w:ascii="Arial" w:hAnsi="Arial" w:cs="Arial"/>
          <w:bCs/>
        </w:rPr>
        <w:t>Athens</w:t>
      </w:r>
      <w:r>
        <w:rPr>
          <w:rFonts w:ascii="Arial" w:hAnsi="Arial" w:cs="Arial"/>
          <w:bCs/>
        </w:rPr>
        <w:t xml:space="preserve">, </w:t>
      </w:r>
      <w:r w:rsidR="006B5245">
        <w:rPr>
          <w:rFonts w:ascii="Arial" w:hAnsi="Arial" w:cs="Arial"/>
          <w:bCs/>
        </w:rPr>
        <w:t>Greece</w:t>
      </w:r>
    </w:p>
    <w:p w14:paraId="7F07E4A0" w14:textId="6D9627A6" w:rsidR="00105674" w:rsidRDefault="00105674" w:rsidP="00105674">
      <w:pPr>
        <w:tabs>
          <w:tab w:val="left" w:pos="5103"/>
        </w:tabs>
        <w:spacing w:after="120"/>
        <w:rPr>
          <w:rFonts w:ascii="Arial" w:hAnsi="Arial" w:cs="Arial"/>
          <w:bCs/>
        </w:rPr>
      </w:pPr>
      <w:r>
        <w:rPr>
          <w:rFonts w:ascii="Arial" w:hAnsi="Arial" w:cs="Arial"/>
          <w:bCs/>
        </w:rPr>
        <w:lastRenderedPageBreak/>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306D968C" w14:textId="77777777" w:rsidR="00954653" w:rsidRDefault="00954653" w:rsidP="007E6E95">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EB256" w14:textId="77777777" w:rsidR="006C688B" w:rsidRDefault="006C688B">
      <w:pPr>
        <w:spacing w:after="0"/>
      </w:pPr>
      <w:r>
        <w:separator/>
      </w:r>
    </w:p>
  </w:endnote>
  <w:endnote w:type="continuationSeparator" w:id="0">
    <w:p w14:paraId="73F08AB4" w14:textId="77777777" w:rsidR="006C688B" w:rsidRDefault="006C68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96C3A" w14:textId="77777777" w:rsidR="006C688B" w:rsidRDefault="006C688B">
      <w:pPr>
        <w:spacing w:after="0"/>
      </w:pPr>
      <w:r>
        <w:separator/>
      </w:r>
    </w:p>
  </w:footnote>
  <w:footnote w:type="continuationSeparator" w:id="0">
    <w:p w14:paraId="33403857" w14:textId="77777777" w:rsidR="006C688B" w:rsidRDefault="006C68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587C"/>
    <w:rsid w:val="00017F23"/>
    <w:rsid w:val="00046F08"/>
    <w:rsid w:val="00095BC2"/>
    <w:rsid w:val="000C2DA1"/>
    <w:rsid w:val="000C3E1C"/>
    <w:rsid w:val="000E24FC"/>
    <w:rsid w:val="000F6242"/>
    <w:rsid w:val="00101054"/>
    <w:rsid w:val="00105674"/>
    <w:rsid w:val="00121217"/>
    <w:rsid w:val="00164EEC"/>
    <w:rsid w:val="00174844"/>
    <w:rsid w:val="001E0C8D"/>
    <w:rsid w:val="001F34C8"/>
    <w:rsid w:val="001F62C2"/>
    <w:rsid w:val="001F67EF"/>
    <w:rsid w:val="002201E4"/>
    <w:rsid w:val="00270389"/>
    <w:rsid w:val="00296459"/>
    <w:rsid w:val="002A6824"/>
    <w:rsid w:val="002E49D5"/>
    <w:rsid w:val="002F1940"/>
    <w:rsid w:val="00320F57"/>
    <w:rsid w:val="0034030B"/>
    <w:rsid w:val="00383545"/>
    <w:rsid w:val="003B654D"/>
    <w:rsid w:val="003C489E"/>
    <w:rsid w:val="003D3743"/>
    <w:rsid w:val="003E657F"/>
    <w:rsid w:val="00433500"/>
    <w:rsid w:val="00433F71"/>
    <w:rsid w:val="00440D43"/>
    <w:rsid w:val="00453E1A"/>
    <w:rsid w:val="00455362"/>
    <w:rsid w:val="0045595F"/>
    <w:rsid w:val="00477B79"/>
    <w:rsid w:val="00491896"/>
    <w:rsid w:val="004B46AC"/>
    <w:rsid w:val="004D063A"/>
    <w:rsid w:val="004D6698"/>
    <w:rsid w:val="004E3939"/>
    <w:rsid w:val="00520EC6"/>
    <w:rsid w:val="00524687"/>
    <w:rsid w:val="005B1FAF"/>
    <w:rsid w:val="005B5087"/>
    <w:rsid w:val="005C1AA8"/>
    <w:rsid w:val="005F3B26"/>
    <w:rsid w:val="00646E60"/>
    <w:rsid w:val="0065270E"/>
    <w:rsid w:val="00672C66"/>
    <w:rsid w:val="006A3A35"/>
    <w:rsid w:val="006B0604"/>
    <w:rsid w:val="006B5245"/>
    <w:rsid w:val="006C688B"/>
    <w:rsid w:val="006E0D4F"/>
    <w:rsid w:val="006F2D99"/>
    <w:rsid w:val="00726022"/>
    <w:rsid w:val="007A25AE"/>
    <w:rsid w:val="007B1EA2"/>
    <w:rsid w:val="007E6E95"/>
    <w:rsid w:val="007F4F92"/>
    <w:rsid w:val="007F6F25"/>
    <w:rsid w:val="00800273"/>
    <w:rsid w:val="00832356"/>
    <w:rsid w:val="00832B2B"/>
    <w:rsid w:val="008425E3"/>
    <w:rsid w:val="008459F7"/>
    <w:rsid w:val="00871009"/>
    <w:rsid w:val="008858CD"/>
    <w:rsid w:val="008C6568"/>
    <w:rsid w:val="008D772F"/>
    <w:rsid w:val="008E197E"/>
    <w:rsid w:val="009243EF"/>
    <w:rsid w:val="00953874"/>
    <w:rsid w:val="00954653"/>
    <w:rsid w:val="0097428F"/>
    <w:rsid w:val="0098188E"/>
    <w:rsid w:val="00987628"/>
    <w:rsid w:val="0099764C"/>
    <w:rsid w:val="00A257D8"/>
    <w:rsid w:val="00A339E5"/>
    <w:rsid w:val="00A33A54"/>
    <w:rsid w:val="00A34B3D"/>
    <w:rsid w:val="00A46CCB"/>
    <w:rsid w:val="00A653CE"/>
    <w:rsid w:val="00A71544"/>
    <w:rsid w:val="00A805B3"/>
    <w:rsid w:val="00A90373"/>
    <w:rsid w:val="00AC6106"/>
    <w:rsid w:val="00AE1828"/>
    <w:rsid w:val="00B2267B"/>
    <w:rsid w:val="00B27EB4"/>
    <w:rsid w:val="00B33F3C"/>
    <w:rsid w:val="00B5011D"/>
    <w:rsid w:val="00B823A6"/>
    <w:rsid w:val="00B97703"/>
    <w:rsid w:val="00BB6A1F"/>
    <w:rsid w:val="00C04BAC"/>
    <w:rsid w:val="00C178A7"/>
    <w:rsid w:val="00C17B7B"/>
    <w:rsid w:val="00C23C20"/>
    <w:rsid w:val="00C362C0"/>
    <w:rsid w:val="00C57D1C"/>
    <w:rsid w:val="00CD5002"/>
    <w:rsid w:val="00CF46F9"/>
    <w:rsid w:val="00CF6087"/>
    <w:rsid w:val="00D02856"/>
    <w:rsid w:val="00D144DE"/>
    <w:rsid w:val="00D209D8"/>
    <w:rsid w:val="00D25CD3"/>
    <w:rsid w:val="00D62A0E"/>
    <w:rsid w:val="00D84FCE"/>
    <w:rsid w:val="00D856BD"/>
    <w:rsid w:val="00D912FD"/>
    <w:rsid w:val="00DF7E9B"/>
    <w:rsid w:val="00E92981"/>
    <w:rsid w:val="00E961C6"/>
    <w:rsid w:val="00EB2ABD"/>
    <w:rsid w:val="00EC0AE9"/>
    <w:rsid w:val="00EC225B"/>
    <w:rsid w:val="00ED48C3"/>
    <w:rsid w:val="00EF0561"/>
    <w:rsid w:val="00F24338"/>
    <w:rsid w:val="00F33593"/>
    <w:rsid w:val="00F34B3C"/>
    <w:rsid w:val="00F43888"/>
    <w:rsid w:val="00F91527"/>
    <w:rsid w:val="00FA7CCA"/>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166455AA-30C8-4923-821A-D848FEB4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67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1056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105674"/>
    <w:pPr>
      <w:pBdr>
        <w:top w:val="none" w:sz="0" w:space="0" w:color="auto"/>
      </w:pBdr>
      <w:spacing w:before="180"/>
      <w:outlineLvl w:val="1"/>
    </w:pPr>
    <w:rPr>
      <w:sz w:val="32"/>
    </w:rPr>
  </w:style>
  <w:style w:type="paragraph" w:styleId="Heading3">
    <w:name w:val="heading 3"/>
    <w:aliases w:val="H3,h3"/>
    <w:basedOn w:val="Heading2"/>
    <w:next w:val="Normal"/>
    <w:qFormat/>
    <w:rsid w:val="00105674"/>
    <w:pPr>
      <w:spacing w:before="120"/>
      <w:outlineLvl w:val="2"/>
    </w:pPr>
    <w:rPr>
      <w:sz w:val="28"/>
    </w:rPr>
  </w:style>
  <w:style w:type="paragraph" w:styleId="Heading4">
    <w:name w:val="heading 4"/>
    <w:aliases w:val="h4"/>
    <w:basedOn w:val="Heading3"/>
    <w:next w:val="Normal"/>
    <w:qFormat/>
    <w:rsid w:val="00105674"/>
    <w:pPr>
      <w:ind w:left="1418" w:hanging="1418"/>
      <w:outlineLvl w:val="3"/>
    </w:pPr>
    <w:rPr>
      <w:sz w:val="24"/>
    </w:rPr>
  </w:style>
  <w:style w:type="paragraph" w:styleId="Heading5">
    <w:name w:val="heading 5"/>
    <w:aliases w:val="h5"/>
    <w:basedOn w:val="Heading4"/>
    <w:next w:val="Normal"/>
    <w:qFormat/>
    <w:rsid w:val="00105674"/>
    <w:pPr>
      <w:ind w:left="1701" w:hanging="1701"/>
      <w:outlineLvl w:val="4"/>
    </w:pPr>
    <w:rPr>
      <w:sz w:val="22"/>
    </w:rPr>
  </w:style>
  <w:style w:type="paragraph" w:styleId="Heading6">
    <w:name w:val="heading 6"/>
    <w:aliases w:val="h6"/>
    <w:basedOn w:val="H6"/>
    <w:next w:val="Normal"/>
    <w:qFormat/>
    <w:rsid w:val="00105674"/>
    <w:pPr>
      <w:outlineLvl w:val="5"/>
    </w:pPr>
  </w:style>
  <w:style w:type="paragraph" w:styleId="Heading7">
    <w:name w:val="heading 7"/>
    <w:basedOn w:val="H6"/>
    <w:next w:val="Normal"/>
    <w:qFormat/>
    <w:rsid w:val="00105674"/>
    <w:pPr>
      <w:outlineLvl w:val="6"/>
    </w:pPr>
  </w:style>
  <w:style w:type="paragraph" w:styleId="Heading8">
    <w:name w:val="heading 8"/>
    <w:basedOn w:val="Heading1"/>
    <w:next w:val="Normal"/>
    <w:qFormat/>
    <w:rsid w:val="00105674"/>
    <w:pPr>
      <w:ind w:left="0" w:firstLine="0"/>
      <w:outlineLvl w:val="7"/>
    </w:pPr>
  </w:style>
  <w:style w:type="paragraph" w:styleId="Heading9">
    <w:name w:val="heading 9"/>
    <w:basedOn w:val="Heading8"/>
    <w:next w:val="Normal"/>
    <w:qFormat/>
    <w:rsid w:val="001056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567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10567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567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5674"/>
    <w:pPr>
      <w:spacing w:before="180"/>
      <w:ind w:left="2693" w:hanging="2693"/>
    </w:pPr>
    <w:rPr>
      <w:b/>
    </w:rPr>
  </w:style>
  <w:style w:type="paragraph" w:styleId="TOC1">
    <w:name w:val="toc 1"/>
    <w:semiHidden/>
    <w:rsid w:val="001056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056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05674"/>
    <w:pPr>
      <w:ind w:left="1701" w:hanging="1701"/>
    </w:pPr>
  </w:style>
  <w:style w:type="paragraph" w:styleId="TOC4">
    <w:name w:val="toc 4"/>
    <w:basedOn w:val="TOC3"/>
    <w:semiHidden/>
    <w:rsid w:val="00105674"/>
    <w:pPr>
      <w:ind w:left="1418" w:hanging="1418"/>
    </w:pPr>
  </w:style>
  <w:style w:type="paragraph" w:styleId="TOC3">
    <w:name w:val="toc 3"/>
    <w:basedOn w:val="TOC2"/>
    <w:semiHidden/>
    <w:rsid w:val="00105674"/>
    <w:pPr>
      <w:ind w:left="1134" w:hanging="1134"/>
    </w:pPr>
  </w:style>
  <w:style w:type="paragraph" w:styleId="TOC2">
    <w:name w:val="toc 2"/>
    <w:basedOn w:val="TOC1"/>
    <w:semiHidden/>
    <w:rsid w:val="00105674"/>
    <w:pPr>
      <w:keepNext w:val="0"/>
      <w:spacing w:before="0"/>
      <w:ind w:left="851" w:hanging="851"/>
    </w:pPr>
    <w:rPr>
      <w:sz w:val="20"/>
    </w:rPr>
  </w:style>
  <w:style w:type="paragraph" w:styleId="Index2">
    <w:name w:val="index 2"/>
    <w:basedOn w:val="Index1"/>
    <w:semiHidden/>
    <w:rsid w:val="00105674"/>
    <w:pPr>
      <w:ind w:left="284"/>
    </w:pPr>
  </w:style>
  <w:style w:type="paragraph" w:styleId="Index1">
    <w:name w:val="index 1"/>
    <w:basedOn w:val="Normal"/>
    <w:semiHidden/>
    <w:rsid w:val="00105674"/>
    <w:pPr>
      <w:keepLines/>
      <w:spacing w:after="0"/>
    </w:pPr>
  </w:style>
  <w:style w:type="paragraph" w:customStyle="1" w:styleId="ZH">
    <w:name w:val="ZH"/>
    <w:rsid w:val="001056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05674"/>
    <w:pPr>
      <w:outlineLvl w:val="9"/>
    </w:pPr>
  </w:style>
  <w:style w:type="paragraph" w:styleId="ListNumber2">
    <w:name w:val="List Number 2"/>
    <w:basedOn w:val="ListNumber"/>
    <w:semiHidden/>
    <w:rsid w:val="00105674"/>
    <w:pPr>
      <w:ind w:left="851"/>
    </w:pPr>
  </w:style>
  <w:style w:type="character" w:styleId="FootnoteReference">
    <w:name w:val="footnote reference"/>
    <w:semiHidden/>
    <w:rsid w:val="00105674"/>
    <w:rPr>
      <w:b/>
      <w:position w:val="6"/>
      <w:sz w:val="16"/>
    </w:rPr>
  </w:style>
  <w:style w:type="paragraph" w:styleId="FootnoteText">
    <w:name w:val="footnote text"/>
    <w:basedOn w:val="Normal"/>
    <w:link w:val="FootnoteTextChar"/>
    <w:semiHidden/>
    <w:rsid w:val="00105674"/>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5674"/>
    <w:rPr>
      <w:b/>
    </w:rPr>
  </w:style>
  <w:style w:type="paragraph" w:customStyle="1" w:styleId="TAC">
    <w:name w:val="TAC"/>
    <w:basedOn w:val="TAL"/>
    <w:rsid w:val="00105674"/>
    <w:pPr>
      <w:jc w:val="center"/>
    </w:pPr>
  </w:style>
  <w:style w:type="paragraph" w:customStyle="1" w:styleId="TF">
    <w:name w:val="TF"/>
    <w:basedOn w:val="TH"/>
    <w:rsid w:val="00105674"/>
    <w:pPr>
      <w:keepNext w:val="0"/>
      <w:spacing w:before="0" w:after="240"/>
    </w:pPr>
  </w:style>
  <w:style w:type="paragraph" w:customStyle="1" w:styleId="NO">
    <w:name w:val="NO"/>
    <w:basedOn w:val="Normal"/>
    <w:rsid w:val="00105674"/>
    <w:pPr>
      <w:keepLines/>
      <w:ind w:left="1135" w:hanging="851"/>
    </w:pPr>
  </w:style>
  <w:style w:type="paragraph" w:styleId="TOC9">
    <w:name w:val="toc 9"/>
    <w:basedOn w:val="TOC8"/>
    <w:semiHidden/>
    <w:rsid w:val="00105674"/>
    <w:pPr>
      <w:ind w:left="1418" w:hanging="1418"/>
    </w:pPr>
  </w:style>
  <w:style w:type="paragraph" w:customStyle="1" w:styleId="EX">
    <w:name w:val="EX"/>
    <w:basedOn w:val="Normal"/>
    <w:rsid w:val="00105674"/>
    <w:pPr>
      <w:keepLines/>
      <w:ind w:left="1702" w:hanging="1418"/>
    </w:pPr>
  </w:style>
  <w:style w:type="paragraph" w:customStyle="1" w:styleId="FP">
    <w:name w:val="FP"/>
    <w:basedOn w:val="Normal"/>
    <w:rsid w:val="00105674"/>
    <w:pPr>
      <w:spacing w:after="0"/>
    </w:pPr>
  </w:style>
  <w:style w:type="paragraph" w:customStyle="1" w:styleId="LD">
    <w:name w:val="LD"/>
    <w:rsid w:val="0010567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05674"/>
    <w:pPr>
      <w:spacing w:after="0"/>
    </w:pPr>
  </w:style>
  <w:style w:type="paragraph" w:customStyle="1" w:styleId="EW">
    <w:name w:val="EW"/>
    <w:basedOn w:val="EX"/>
    <w:rsid w:val="00105674"/>
    <w:pPr>
      <w:spacing w:after="0"/>
    </w:pPr>
  </w:style>
  <w:style w:type="paragraph" w:styleId="TOC6">
    <w:name w:val="toc 6"/>
    <w:basedOn w:val="TOC5"/>
    <w:next w:val="Normal"/>
    <w:semiHidden/>
    <w:rsid w:val="00105674"/>
    <w:pPr>
      <w:ind w:left="1985" w:hanging="1985"/>
    </w:pPr>
  </w:style>
  <w:style w:type="paragraph" w:styleId="TOC7">
    <w:name w:val="toc 7"/>
    <w:basedOn w:val="TOC6"/>
    <w:next w:val="Normal"/>
    <w:semiHidden/>
    <w:rsid w:val="00105674"/>
    <w:pPr>
      <w:ind w:left="2268" w:hanging="2268"/>
    </w:pPr>
  </w:style>
  <w:style w:type="paragraph" w:styleId="ListBullet2">
    <w:name w:val="List Bullet 2"/>
    <w:basedOn w:val="ListBullet"/>
    <w:semiHidden/>
    <w:rsid w:val="00105674"/>
    <w:pPr>
      <w:ind w:left="851"/>
    </w:pPr>
  </w:style>
  <w:style w:type="paragraph" w:styleId="ListBullet3">
    <w:name w:val="List Bullet 3"/>
    <w:basedOn w:val="ListBullet2"/>
    <w:semiHidden/>
    <w:rsid w:val="00105674"/>
    <w:pPr>
      <w:ind w:left="1135"/>
    </w:pPr>
  </w:style>
  <w:style w:type="paragraph" w:styleId="ListNumber">
    <w:name w:val="List Number"/>
    <w:basedOn w:val="List"/>
    <w:semiHidden/>
    <w:rsid w:val="00105674"/>
  </w:style>
  <w:style w:type="paragraph" w:customStyle="1" w:styleId="EQ">
    <w:name w:val="EQ"/>
    <w:basedOn w:val="Normal"/>
    <w:next w:val="Normal"/>
    <w:rsid w:val="00105674"/>
    <w:pPr>
      <w:keepLines/>
      <w:tabs>
        <w:tab w:val="center" w:pos="4536"/>
        <w:tab w:val="right" w:pos="9072"/>
      </w:tabs>
    </w:pPr>
    <w:rPr>
      <w:noProof/>
    </w:rPr>
  </w:style>
  <w:style w:type="paragraph" w:customStyle="1" w:styleId="TH">
    <w:name w:val="TH"/>
    <w:basedOn w:val="Normal"/>
    <w:rsid w:val="00105674"/>
    <w:pPr>
      <w:keepNext/>
      <w:keepLines/>
      <w:spacing w:before="60"/>
      <w:jc w:val="center"/>
    </w:pPr>
    <w:rPr>
      <w:rFonts w:ascii="Arial" w:hAnsi="Arial"/>
      <w:b/>
    </w:rPr>
  </w:style>
  <w:style w:type="paragraph" w:customStyle="1" w:styleId="NF">
    <w:name w:val="NF"/>
    <w:basedOn w:val="NO"/>
    <w:rsid w:val="00105674"/>
    <w:pPr>
      <w:keepNext/>
      <w:spacing w:after="0"/>
    </w:pPr>
    <w:rPr>
      <w:rFonts w:ascii="Arial" w:hAnsi="Arial"/>
      <w:sz w:val="18"/>
    </w:rPr>
  </w:style>
  <w:style w:type="paragraph" w:customStyle="1" w:styleId="PL">
    <w:name w:val="PL"/>
    <w:rsid w:val="00105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05674"/>
    <w:pPr>
      <w:jc w:val="right"/>
    </w:pPr>
  </w:style>
  <w:style w:type="paragraph" w:customStyle="1" w:styleId="H6">
    <w:name w:val="H6"/>
    <w:basedOn w:val="Heading5"/>
    <w:next w:val="Normal"/>
    <w:rsid w:val="00105674"/>
    <w:pPr>
      <w:ind w:left="1985" w:hanging="1985"/>
      <w:outlineLvl w:val="9"/>
    </w:pPr>
    <w:rPr>
      <w:sz w:val="20"/>
    </w:rPr>
  </w:style>
  <w:style w:type="paragraph" w:customStyle="1" w:styleId="TAN">
    <w:name w:val="TAN"/>
    <w:basedOn w:val="TAL"/>
    <w:rsid w:val="00105674"/>
    <w:pPr>
      <w:ind w:left="851" w:hanging="851"/>
    </w:pPr>
  </w:style>
  <w:style w:type="paragraph" w:customStyle="1" w:styleId="TAL">
    <w:name w:val="TAL"/>
    <w:basedOn w:val="Normal"/>
    <w:rsid w:val="00105674"/>
    <w:pPr>
      <w:keepNext/>
      <w:keepLines/>
      <w:spacing w:after="0"/>
    </w:pPr>
    <w:rPr>
      <w:rFonts w:ascii="Arial" w:hAnsi="Arial"/>
      <w:sz w:val="18"/>
    </w:rPr>
  </w:style>
  <w:style w:type="paragraph" w:customStyle="1" w:styleId="ZA">
    <w:name w:val="ZA"/>
    <w:rsid w:val="001056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056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056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056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05674"/>
    <w:pPr>
      <w:framePr w:wrap="notBeside" w:y="16161"/>
    </w:pPr>
  </w:style>
  <w:style w:type="character" w:customStyle="1" w:styleId="ZGSM">
    <w:name w:val="ZGSM"/>
    <w:rsid w:val="00105674"/>
  </w:style>
  <w:style w:type="paragraph" w:styleId="List2">
    <w:name w:val="List 2"/>
    <w:basedOn w:val="List"/>
    <w:semiHidden/>
    <w:rsid w:val="00105674"/>
    <w:pPr>
      <w:ind w:left="851"/>
    </w:pPr>
  </w:style>
  <w:style w:type="paragraph" w:customStyle="1" w:styleId="ZG">
    <w:name w:val="ZG"/>
    <w:rsid w:val="001056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105674"/>
    <w:pPr>
      <w:ind w:left="1135"/>
    </w:pPr>
  </w:style>
  <w:style w:type="paragraph" w:styleId="List4">
    <w:name w:val="List 4"/>
    <w:basedOn w:val="List3"/>
    <w:semiHidden/>
    <w:rsid w:val="00105674"/>
    <w:pPr>
      <w:ind w:left="1418"/>
    </w:pPr>
  </w:style>
  <w:style w:type="paragraph" w:styleId="List5">
    <w:name w:val="List 5"/>
    <w:basedOn w:val="List4"/>
    <w:semiHidden/>
    <w:rsid w:val="00105674"/>
    <w:pPr>
      <w:ind w:left="1702"/>
    </w:pPr>
  </w:style>
  <w:style w:type="paragraph" w:customStyle="1" w:styleId="EditorsNote">
    <w:name w:val="Editor's Note"/>
    <w:basedOn w:val="NO"/>
    <w:rsid w:val="00105674"/>
    <w:rPr>
      <w:color w:val="FF0000"/>
    </w:rPr>
  </w:style>
  <w:style w:type="paragraph" w:styleId="List">
    <w:name w:val="List"/>
    <w:basedOn w:val="Normal"/>
    <w:semiHidden/>
    <w:rsid w:val="00105674"/>
    <w:pPr>
      <w:ind w:left="568" w:hanging="284"/>
    </w:pPr>
  </w:style>
  <w:style w:type="paragraph" w:styleId="ListBullet">
    <w:name w:val="List Bullet"/>
    <w:basedOn w:val="List"/>
    <w:semiHidden/>
    <w:rsid w:val="00105674"/>
  </w:style>
  <w:style w:type="paragraph" w:styleId="ListBullet4">
    <w:name w:val="List Bullet 4"/>
    <w:basedOn w:val="ListBullet3"/>
    <w:semiHidden/>
    <w:rsid w:val="00105674"/>
    <w:pPr>
      <w:ind w:left="1418"/>
    </w:pPr>
  </w:style>
  <w:style w:type="paragraph" w:styleId="ListBullet5">
    <w:name w:val="List Bullet 5"/>
    <w:basedOn w:val="ListBullet4"/>
    <w:semiHidden/>
    <w:rsid w:val="00105674"/>
    <w:pPr>
      <w:ind w:left="1702"/>
    </w:pPr>
  </w:style>
  <w:style w:type="paragraph" w:customStyle="1" w:styleId="B2">
    <w:name w:val="B2"/>
    <w:basedOn w:val="List2"/>
    <w:rsid w:val="00105674"/>
  </w:style>
  <w:style w:type="paragraph" w:customStyle="1" w:styleId="B3">
    <w:name w:val="B3"/>
    <w:basedOn w:val="List3"/>
    <w:rsid w:val="00105674"/>
  </w:style>
  <w:style w:type="paragraph" w:customStyle="1" w:styleId="B4">
    <w:name w:val="B4"/>
    <w:basedOn w:val="List4"/>
    <w:rsid w:val="00105674"/>
  </w:style>
  <w:style w:type="paragraph" w:customStyle="1" w:styleId="B5">
    <w:name w:val="B5"/>
    <w:basedOn w:val="List5"/>
    <w:rsid w:val="00105674"/>
  </w:style>
  <w:style w:type="paragraph" w:customStyle="1" w:styleId="ZTD">
    <w:name w:val="ZTD"/>
    <w:basedOn w:val="ZB"/>
    <w:rsid w:val="0010567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ListParagraph">
    <w:name w:val="List Paragraph"/>
    <w:basedOn w:val="Normal"/>
    <w:uiPriority w:val="34"/>
    <w:qFormat/>
    <w:rsid w:val="000E24FC"/>
    <w:pPr>
      <w:ind w:firstLineChars="200" w:firstLine="42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yperlink" Target="https://www.3gpp.org/3gpp-groups/service-system-aspects-sa/sa-wg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newsletter-issue-07-nov-202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technologies/sa6-app-enable" TargetMode="External"/><Relationship Id="rId4" Type="http://schemas.openxmlformats.org/officeDocument/2006/relationships/webSettings" Target="webSettings.xml"/><Relationship Id="rId9" Type="http://schemas.openxmlformats.org/officeDocument/2006/relationships/hyperlink" Target="https://www.itu.int/en/ITU-T/focusgroups/mv/Documents/List%20of%20FG-MV%20deliverables/FGMV-19.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335</TotalTime>
  <Pages>3</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Samsung_rev1</cp:lastModifiedBy>
  <cp:revision>3</cp:revision>
  <cp:lastPrinted>2002-04-23T07:10:00Z</cp:lastPrinted>
  <dcterms:created xsi:type="dcterms:W3CDTF">2020-01-14T15:01:00Z</dcterms:created>
  <dcterms:modified xsi:type="dcterms:W3CDTF">2024-11-21T16:45:00Z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